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8EC9" w14:textId="77777777" w:rsidR="00DD2678" w:rsidRDefault="00000000" w:rsidP="004A63A8">
      <w:pPr>
        <w:jc w:val="center"/>
      </w:pPr>
      <w:r>
        <w:rPr>
          <w:i/>
          <w:iCs/>
          <w:sz w:val="18"/>
          <w:szCs w:val="18"/>
        </w:rPr>
        <w:t xml:space="preserve">Załącznik nr 9 do Zapytania ofertowego nr </w:t>
      </w:r>
      <w:r>
        <w:rPr>
          <w:b/>
          <w:bCs/>
        </w:rPr>
        <w:t>2026-69832-282193</w:t>
      </w:r>
    </w:p>
    <w:p w14:paraId="646073BC" w14:textId="33BA9E8F" w:rsidR="00DD2678" w:rsidRDefault="004A63A8" w:rsidP="004A63A8">
      <w:pPr>
        <w:spacing w:after="200"/>
        <w:jc w:val="center"/>
      </w:pPr>
      <w:r>
        <w:rPr>
          <w:i/>
          <w:iCs/>
          <w:sz w:val="18"/>
          <w:szCs w:val="18"/>
        </w:rPr>
        <w:t>z dnia 2</w:t>
      </w:r>
      <w:r w:rsidR="001F6497">
        <w:rPr>
          <w:i/>
          <w:iCs/>
          <w:sz w:val="18"/>
          <w:szCs w:val="18"/>
        </w:rPr>
        <w:t xml:space="preserve">9 </w:t>
      </w:r>
      <w:r>
        <w:rPr>
          <w:i/>
          <w:iCs/>
          <w:sz w:val="18"/>
          <w:szCs w:val="18"/>
        </w:rPr>
        <w:t xml:space="preserve">czerwca 2026 r. </w:t>
      </w:r>
    </w:p>
    <w:p w14:paraId="6344CE68" w14:textId="77777777" w:rsidR="00DD2678" w:rsidRDefault="00000000">
      <w:pPr>
        <w:pStyle w:val="Tytu"/>
      </w:pPr>
      <w:r>
        <w:t>Szczegółowy opis przedmiotu zamówienia</w:t>
      </w:r>
    </w:p>
    <w:p w14:paraId="61AF6730" w14:textId="77777777" w:rsidR="00DD2678" w:rsidRDefault="00000000">
      <w:pPr>
        <w:pStyle w:val="Nagwek1"/>
      </w:pPr>
      <w:r>
        <w:t>1. Preambuła</w:t>
      </w:r>
    </w:p>
    <w:p w14:paraId="21167C7F" w14:textId="77777777" w:rsidR="00DD2678" w:rsidRDefault="00000000">
      <w:pPr>
        <w:spacing w:after="120" w:line="264" w:lineRule="auto"/>
        <w:jc w:val="both"/>
      </w:pPr>
      <w:r>
        <w:t>Niniejszy dokument określa zakres specjalistycznych prac badawczo-rozwojowych, których celem jest stworzenie, zintegrowanie oraz walidacja w warunkach operacyjnych spójnego i skalowalnego interfejsu zarządzania chmurą nowej generacji (konsoli zarządzania). Projekt ma charakter badawczy i koncentruje się na ewolucji istniejącego rozwiązania do w pełni funkcjonalnego środowiska produkcyjnego umożliwiającego wdrożenie przemysłowe.</w:t>
      </w:r>
    </w:p>
    <w:p w14:paraId="76B2E8BA" w14:textId="77777777" w:rsidR="00DD2678" w:rsidRDefault="00000000">
      <w:pPr>
        <w:spacing w:after="120" w:line="264" w:lineRule="auto"/>
        <w:jc w:val="both"/>
      </w:pPr>
      <w:r>
        <w:t>Kluczowym elementem prac będzie opracowanie i wdrożenie zaawansowanej warstwy integracyjnej umożliwiającej modelowanie docelowych usług chmurowych, łączącej w warstwie wizualnej i technicznej moduły systemu przechowywania i przetwarzania danych, kryptograficzne oraz zarządzania warstwą uwierzytelniającą.</w:t>
      </w:r>
    </w:p>
    <w:p w14:paraId="48972A8B" w14:textId="77777777" w:rsidR="00DD2678" w:rsidRDefault="00000000">
      <w:pPr>
        <w:pStyle w:val="Nagwek1"/>
      </w:pPr>
      <w:r>
        <w:t>2. Cele badawcze projektu</w:t>
      </w:r>
    </w:p>
    <w:p w14:paraId="6A4803D0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Analiza i projekt integracji: </w:t>
      </w:r>
      <w:r>
        <w:t>zbadanie i zaprojektowanie architektury systemu zdolnej do zintegrowania kluczowych komponentów w jedną, spójną warstwę zarządzania.</w:t>
      </w:r>
    </w:p>
    <w:p w14:paraId="67C7434A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Budowa konsoli zarządzania: </w:t>
      </w:r>
      <w:r>
        <w:t>implementacja interfejsu użytkownika w architekturze wysokiej dostępności, który, korzystając z ujednoliconego API, pozwoli na intuicyjne zarządzanie zintegrowanymi usługami.</w:t>
      </w:r>
    </w:p>
    <w:p w14:paraId="626D49F8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Walidacja i przygotowanie do wdrożenia przemysłowego: </w:t>
      </w:r>
      <w:r>
        <w:t>przeprowadzenie testów wydajności, bezpieczeństwa i niezawodności oraz walidacja z użytkownikami w celu potwierdzenia gotowości produktu do wdrożenia przemysłowego.</w:t>
      </w:r>
    </w:p>
    <w:p w14:paraId="15BB9201" w14:textId="77777777" w:rsidR="00DD2678" w:rsidRDefault="00000000">
      <w:pPr>
        <w:pStyle w:val="Nagwek1"/>
      </w:pPr>
      <w:r>
        <w:t>3. Główne rezultaty projektu</w:t>
      </w:r>
    </w:p>
    <w:p w14:paraId="57DCDAD9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Dokumentacja architektury systemu: </w:t>
      </w:r>
      <w:r>
        <w:t>projekt techniczny opisujący architekturę warstwy integracyjnej oraz konsoli zarządzania.</w:t>
      </w:r>
    </w:p>
    <w:p w14:paraId="4EC4904C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Konsola zarządzania: </w:t>
      </w:r>
      <w:r>
        <w:t>w pełni funkcjonalny, graficzny interfejs użytkownika do zarządzania chmurą, integrujący obecne produkty z nowym systemem przechowywania i przetwarzania danych, rozwiązaniami kryptograficznymi oraz zarządzaniem warstwą autoryzacyjną.</w:t>
      </w:r>
    </w:p>
    <w:p w14:paraId="65E088CD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Raporty z testów i walidacji: </w:t>
      </w:r>
      <w:r>
        <w:t>dokumentacja wyników testów wydajnościowych oraz bezpieczeństwa.</w:t>
      </w:r>
    </w:p>
    <w:p w14:paraId="71ED0E77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Moduł analityczno-raportowy: </w:t>
      </w:r>
      <w:r>
        <w:t>zaprojektowany i zbudowany moduł prezentujący w formie interaktywnych wykresów analitykę usług chmurowych zakupionych przez klienta.</w:t>
      </w:r>
    </w:p>
    <w:p w14:paraId="2E50DDF2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Serwis do zarządzania zewnętrznymi usługami chmurowymi: </w:t>
      </w:r>
      <w:r>
        <w:t>zaprojektowany i zbudowany nowy serwis do zarządzania, konfiguracji i obsługi zewnętrznych usług chmurowych, wraz z integracją z obecnymi usługami autentykacji (uwierzytelniania) oraz modułem billingowym.</w:t>
      </w:r>
    </w:p>
    <w:p w14:paraId="6F5F6A59" w14:textId="77777777" w:rsidR="00DD2678" w:rsidRDefault="00000000">
      <w:pPr>
        <w:pStyle w:val="Nagwek1"/>
      </w:pPr>
      <w:r>
        <w:t>4. Podział prac na etapy</w:t>
      </w:r>
    </w:p>
    <w:p w14:paraId="3A7FC594" w14:textId="77777777" w:rsidR="00DD2678" w:rsidRDefault="00000000">
      <w:pPr>
        <w:spacing w:after="120" w:line="264" w:lineRule="auto"/>
        <w:jc w:val="both"/>
      </w:pPr>
      <w:r>
        <w:t>Prace badawczo-rozwojowe nad konsolą zarządzania zostaną podzielone na cztery etapy, koncentrujące się na integracji następujących komponentów:</w:t>
      </w:r>
    </w:p>
    <w:p w14:paraId="52CB9229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Usługa przetwarzania i przechowywania danych w chmurze;</w:t>
      </w:r>
    </w:p>
    <w:p w14:paraId="66B30F1A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lastRenderedPageBreak/>
        <w:t>Usługa KMS i HSM w chmurze oraz system kryptograficznego zabezpieczania środowisk uruchomieniowych;</w:t>
      </w:r>
    </w:p>
    <w:p w14:paraId="7E573AF9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Warstwa autoryzacyjna obsługująca model federacyjny.</w:t>
      </w:r>
    </w:p>
    <w:p w14:paraId="737E5D30" w14:textId="77777777" w:rsidR="00DD2678" w:rsidRDefault="00000000">
      <w:pPr>
        <w:pStyle w:val="Nagwek2"/>
      </w:pPr>
      <w:r>
        <w:t>Etap 1: Analiza komponentów i projekt architektury</w:t>
      </w:r>
    </w:p>
    <w:p w14:paraId="51C9E882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 xml:space="preserve">Cel: </w:t>
      </w:r>
      <w:r>
        <w:t xml:space="preserve">zrozumienie działania istniejącego interfejsu zarządzania oraz analiza możliwości integracyjnych każdego z nowych komponentów; zaprojektowanie docelowej architektury dla warstwy </w:t>
      </w:r>
      <w:proofErr w:type="spellStart"/>
      <w:r>
        <w:t>frontendowej</w:t>
      </w:r>
      <w:proofErr w:type="spellEnd"/>
      <w:r>
        <w:t>.</w:t>
      </w:r>
    </w:p>
    <w:p w14:paraId="49E9969F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>Główne działania:</w:t>
      </w:r>
    </w:p>
    <w:p w14:paraId="214431F9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Analiza API obecnej platformy </w:t>
      </w:r>
      <w:r>
        <w:t>– szczegółowa analiza interfejsów programistycznych (API) i możliwości technicznych.</w:t>
      </w:r>
    </w:p>
    <w:p w14:paraId="503DD9A0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Analiza istniejącej konsoli zarządzania </w:t>
      </w:r>
      <w:r>
        <w:t>– analiza kodu, przypadków użycia, przedstawienie rekomendacji co do dostosowania stosu technologicznego.</w:t>
      </w:r>
    </w:p>
    <w:p w14:paraId="6FD2A37E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Analiza komponentów </w:t>
      </w:r>
      <w:r>
        <w:t>– szczegółowa analiza interfejsów programistycznych (API) i możliwości integracyjnych każdego z komponentów.</w:t>
      </w:r>
    </w:p>
    <w:p w14:paraId="7ED706D7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Projekt architektury integracji </w:t>
      </w:r>
      <w:r>
        <w:t xml:space="preserve">– zaprojektowanie struktury warstwy </w:t>
      </w:r>
      <w:proofErr w:type="spellStart"/>
      <w:r>
        <w:t>backendowej</w:t>
      </w:r>
      <w:proofErr w:type="spellEnd"/>
      <w:r>
        <w:t>, która połączy komponenty, oraz schematu ujednoliconego API.</w:t>
      </w:r>
    </w:p>
    <w:p w14:paraId="1A2E5FDE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Rewizja architektury konsoli (UI/UX) </w:t>
      </w:r>
      <w:r>
        <w:t>– stworzenie projektu rewizji interfejsu użytkownika konsoli zarządzania, uwzględniającego spójne zarządzanie wszystkimi usługami.</w:t>
      </w:r>
    </w:p>
    <w:p w14:paraId="00208192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 xml:space="preserve">Rezultat etapu: </w:t>
      </w:r>
      <w:r>
        <w:t>dokumentacja architektury systemu zawierająca schematy, makiety interfejsu użytkownika oraz wybrane rozwiązania technologiczne.</w:t>
      </w:r>
    </w:p>
    <w:p w14:paraId="7A17812C" w14:textId="77777777" w:rsidR="00DD2678" w:rsidRDefault="00000000">
      <w:pPr>
        <w:pStyle w:val="Nagwek2"/>
      </w:pPr>
      <w:r>
        <w:t>Etap 2: Implementacja warstwy integracyjnej</w:t>
      </w:r>
    </w:p>
    <w:p w14:paraId="72C36B98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 xml:space="preserve">Cel: </w:t>
      </w:r>
      <w:r>
        <w:t xml:space="preserve">zbudowanie i przetestowanie warstwy </w:t>
      </w:r>
      <w:proofErr w:type="spellStart"/>
      <w:r>
        <w:t>backendowej</w:t>
      </w:r>
      <w:proofErr w:type="spellEnd"/>
      <w:r>
        <w:t>, która połączy wszystkie nowe moduły i udostępni je poprzez jedno, spójne API.</w:t>
      </w:r>
    </w:p>
    <w:p w14:paraId="4E03A2F9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>Główne działania:</w:t>
      </w:r>
    </w:p>
    <w:p w14:paraId="7C9014ED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Implementacja integracji </w:t>
      </w:r>
      <w:r>
        <w:t>– stworzenie logiki biznesowej łączącej się z API każdego z komponentów.</w:t>
      </w:r>
    </w:p>
    <w:p w14:paraId="3E7FCC92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Budowa ujednoliconego mechanizmu </w:t>
      </w:r>
      <w:proofErr w:type="spellStart"/>
      <w:r>
        <w:rPr>
          <w:b/>
          <w:bCs/>
        </w:rPr>
        <w:t>orkiestracyjnego</w:t>
      </w:r>
      <w:proofErr w:type="spellEnd"/>
      <w:r>
        <w:rPr>
          <w:b/>
          <w:bCs/>
        </w:rPr>
        <w:t xml:space="preserve"> </w:t>
      </w:r>
      <w:r>
        <w:t>– implementacja mechanizmu, który będzie służył jako punkt komunikacji dla konsoli zarządzania.</w:t>
      </w:r>
    </w:p>
    <w:p w14:paraId="47D7DC46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Testy jednostkowe i integracyjne </w:t>
      </w:r>
      <w:r>
        <w:t>– weryfikacja komunikacji z komponentami i działania zgodnie z założeniami.</w:t>
      </w:r>
    </w:p>
    <w:p w14:paraId="3F2A3E19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 xml:space="preserve">Rezultat etapu: </w:t>
      </w:r>
      <w:r>
        <w:t>działająca warstwa integracyjna z udokumentowanym, ujednoliconym API.</w:t>
      </w:r>
    </w:p>
    <w:p w14:paraId="529D28A9" w14:textId="77777777" w:rsidR="00DD2678" w:rsidRDefault="00000000">
      <w:pPr>
        <w:pStyle w:val="Nagwek2"/>
      </w:pPr>
      <w:r>
        <w:t>Etap 3: Budowa konsoli zarządzania i walidacja</w:t>
      </w:r>
    </w:p>
    <w:p w14:paraId="722DC497" w14:textId="446D707A" w:rsidR="00DD2678" w:rsidRDefault="00000000">
      <w:pPr>
        <w:spacing w:after="120" w:line="264" w:lineRule="auto"/>
        <w:jc w:val="both"/>
      </w:pPr>
      <w:r>
        <w:rPr>
          <w:b/>
          <w:bCs/>
        </w:rPr>
        <w:t xml:space="preserve">Cel: </w:t>
      </w:r>
      <w:r>
        <w:t xml:space="preserve">stworzenie </w:t>
      </w:r>
      <w:r w:rsidR="00655038">
        <w:t>końcowego</w:t>
      </w:r>
      <w:r>
        <w:t xml:space="preserve"> interfejsu graficznego, jego integracja oraz przeprowadzenie kompleksowych testów w celu przygotowania do wdrożenia przemysłowego.</w:t>
      </w:r>
    </w:p>
    <w:p w14:paraId="60DBD5F5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>Główne działania:</w:t>
      </w:r>
    </w:p>
    <w:p w14:paraId="6CABF0A4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Implementacja interfejsu użytkownika </w:t>
      </w:r>
      <w:r>
        <w:t>– stworzenie aplikacji konsoli zarządzania na podstawie projektu z Etapu 1 i zintegrowanie jej z istniejącą platformą oraz warstwą integracyjną modułów.</w:t>
      </w:r>
    </w:p>
    <w:p w14:paraId="1B3BBF36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Testy kompleksowe </w:t>
      </w:r>
      <w:r>
        <w:t>– przeprowadzenie testów wydajnościowych, bezpieczeństwa i niezawodności całego rozwiązania.</w:t>
      </w:r>
    </w:p>
    <w:p w14:paraId="5E234937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Walidacja z użytkownikami </w:t>
      </w:r>
      <w:r>
        <w:t>– udostępnienie gotowej konsoli wybranej grupie klientów w celu zebrania opinii i potwierdzenia użyteczności oraz funkcjonalności.</w:t>
      </w:r>
    </w:p>
    <w:p w14:paraId="0ABCB194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lastRenderedPageBreak/>
        <w:t xml:space="preserve">Finalizacja i dokumentacja </w:t>
      </w:r>
      <w:r>
        <w:t>– wprowadzenie ostatnich poprawek na podstawie wyników walidacji i przygotowanie pełnej dokumentacji wdrożeniowej.</w:t>
      </w:r>
    </w:p>
    <w:p w14:paraId="03F53224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 xml:space="preserve">Rezultat etapu: </w:t>
      </w:r>
      <w:r>
        <w:t xml:space="preserve">w pełni funkcjonalna, przetestowana i </w:t>
      </w:r>
      <w:proofErr w:type="spellStart"/>
      <w:r>
        <w:t>zwalidowana</w:t>
      </w:r>
      <w:proofErr w:type="spellEnd"/>
      <w:r>
        <w:t xml:space="preserve"> konsola zarządzania, gotowa do wdrożenia przemysłowego.</w:t>
      </w:r>
    </w:p>
    <w:p w14:paraId="70914B78" w14:textId="77777777" w:rsidR="00DD2678" w:rsidRDefault="00000000">
      <w:pPr>
        <w:pStyle w:val="Nagwek2"/>
      </w:pPr>
      <w:r>
        <w:t>Etap 4: Moduł analityczno-raportowy oraz serwis zarządzania zewnętrznymi usługami chmurowymi</w:t>
      </w:r>
    </w:p>
    <w:p w14:paraId="110923DF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 xml:space="preserve">Cel: </w:t>
      </w:r>
      <w:r>
        <w:t>zaprojektowanie i zbudowanie modułu analityczno-raportowego oraz nowego serwisu do zarządzania zewnętrznymi usługami chmurowymi, stanowiących rozszerzenie funkcjonalne konsoli zarządzania.</w:t>
      </w:r>
    </w:p>
    <w:p w14:paraId="26B1DD6F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>Główne działania:</w:t>
      </w:r>
    </w:p>
    <w:p w14:paraId="1088A060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Moduł analityczno-raportowy </w:t>
      </w:r>
      <w:r>
        <w:t>– zaprojektowanie i zbudowanie modułu analityczno-raportowego, prezentującego w formie interaktywnych wykresów analitykę usług chmurowych zakupionych przez klienta.</w:t>
      </w:r>
    </w:p>
    <w:p w14:paraId="647D4D6D" w14:textId="77777777" w:rsidR="00DD2678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Serwis do zarządzania zewnętrznymi usługami chmurowymi </w:t>
      </w:r>
      <w:r>
        <w:t>– zaprojektowanie i zbudowanie nowego serwisu do zarządzania, konfiguracji i obsługi zewnętrznych usług chmurowych, wraz z integracją z obecnymi usługami autentykacji (uwierzytelniania) oraz modułem billingowym.</w:t>
      </w:r>
    </w:p>
    <w:p w14:paraId="36104489" w14:textId="77777777" w:rsidR="00DD2678" w:rsidRDefault="00000000">
      <w:pPr>
        <w:spacing w:after="120" w:line="264" w:lineRule="auto"/>
        <w:jc w:val="both"/>
      </w:pPr>
      <w:r>
        <w:rPr>
          <w:b/>
          <w:bCs/>
        </w:rPr>
        <w:t xml:space="preserve">Rezultat etapu: </w:t>
      </w:r>
      <w:r>
        <w:t>wdrożony moduł analityczno-raportowy oraz serwis do zarządzania zewnętrznymi usługami chmurowymi, zintegrowane z konsolą zarządzania, usługami uwierzytelniania oraz modułem billingowym.</w:t>
      </w:r>
    </w:p>
    <w:p w14:paraId="0049DAA0" w14:textId="77777777" w:rsidR="004A63A8" w:rsidRDefault="004A63A8">
      <w:pPr>
        <w:spacing w:after="120" w:line="264" w:lineRule="auto"/>
        <w:jc w:val="both"/>
      </w:pPr>
    </w:p>
    <w:p w14:paraId="30C33DD2" w14:textId="2F1B8EFC" w:rsidR="004A63A8" w:rsidRDefault="004A63A8" w:rsidP="004A63A8">
      <w:pPr>
        <w:pStyle w:val="Nagwek1"/>
      </w:pPr>
      <w:r>
        <w:t>5. HARMONOGRAM REALIZACJI PRAC</w:t>
      </w:r>
    </w:p>
    <w:p w14:paraId="471FBBD0" w14:textId="0F36517E" w:rsidR="004A63A8" w:rsidRDefault="004A63A8">
      <w:pPr>
        <w:spacing w:after="120" w:line="264" w:lineRule="auto"/>
        <w:jc w:val="both"/>
      </w:pPr>
      <w:r>
        <w:t>Opisany powyżej harmonogram prac powinien zakończyć się nie później niż do</w:t>
      </w:r>
      <w:r w:rsidR="00C5184B">
        <w:t xml:space="preserve"> 30 </w:t>
      </w:r>
      <w:r>
        <w:t xml:space="preserve">października 2026 r. </w:t>
      </w:r>
    </w:p>
    <w:sectPr w:rsidR="004A63A8">
      <w:headerReference w:type="default" r:id="rId7"/>
      <w:footerReference w:type="default" r:id="rId8"/>
      <w:pgSz w:w="11906" w:h="16838"/>
      <w:pgMar w:top="21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1AF7" w14:textId="77777777" w:rsidR="00EC35CC" w:rsidRDefault="00EC35CC">
      <w:r>
        <w:separator/>
      </w:r>
    </w:p>
  </w:endnote>
  <w:endnote w:type="continuationSeparator" w:id="0">
    <w:p w14:paraId="3257BBC1" w14:textId="77777777" w:rsidR="00EC35CC" w:rsidRDefault="00EC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CCD5" w14:textId="77777777" w:rsidR="004A63A8" w:rsidRDefault="004A63A8" w:rsidP="004A63A8">
    <w:pPr>
      <w:pBdr>
        <w:top w:val="single" w:sz="6" w:space="1" w:color="BFBFBF"/>
      </w:pBdr>
      <w:spacing w:before="60"/>
      <w:rPr>
        <w:color w:val="808080"/>
        <w:sz w:val="14"/>
        <w:szCs w:val="14"/>
      </w:rPr>
    </w:pPr>
  </w:p>
  <w:tbl>
    <w:tblPr>
      <w:tblW w:w="9638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55"/>
      <w:gridCol w:w="7383"/>
    </w:tblGrid>
    <w:tr w:rsidR="004A63A8" w14:paraId="0ADA2DB0" w14:textId="77777777" w:rsidTr="002C14E4">
      <w:tc>
        <w:tcPr>
          <w:tcW w:w="22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A88D155" w14:textId="77777777" w:rsidR="004A63A8" w:rsidRDefault="004A63A8" w:rsidP="004A63A8">
          <w:r>
            <w:rPr>
              <w:noProof/>
            </w:rPr>
            <w:drawing>
              <wp:inline distT="0" distB="0" distL="0" distR="0" wp14:anchorId="6F1765F8" wp14:editId="6FAFBB4D">
                <wp:extent cx="1428750" cy="333375"/>
                <wp:effectExtent l="0" t="0" r="0" b="0"/>
                <wp:docPr id="940270902" name="Obraz 9402709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  <w:tcMar>
            <w:top w:w="0" w:type="dxa"/>
            <w:left w:w="120" w:type="dxa"/>
            <w:bottom w:w="0" w:type="dxa"/>
            <w:right w:w="0" w:type="dxa"/>
          </w:tcMar>
          <w:vAlign w:val="center"/>
        </w:tcPr>
        <w:p w14:paraId="4DD38E6F" w14:textId="77777777" w:rsidR="004A63A8" w:rsidRDefault="004A63A8" w:rsidP="004A63A8">
          <w:pPr>
            <w:spacing w:line="220" w:lineRule="auto"/>
          </w:pPr>
          <w:r>
            <w:rPr>
              <w:b/>
              <w:bCs/>
              <w:color w:val="404040"/>
              <w:sz w:val="14"/>
              <w:szCs w:val="14"/>
            </w:rPr>
            <w:t>Oktawave S.A.</w:t>
          </w:r>
          <w:r>
            <w:rPr>
              <w:color w:val="404040"/>
              <w:sz w:val="14"/>
              <w:szCs w:val="14"/>
            </w:rPr>
            <w:t>, ul. Poleczki 13, 02-822 Warszawa</w:t>
          </w:r>
        </w:p>
        <w:p w14:paraId="480C0906" w14:textId="77777777" w:rsidR="004A63A8" w:rsidRDefault="004A63A8" w:rsidP="004A63A8">
          <w:pPr>
            <w:spacing w:line="220" w:lineRule="auto"/>
          </w:pPr>
          <w:r>
            <w:rPr>
              <w:color w:val="404040"/>
              <w:sz w:val="14"/>
              <w:szCs w:val="14"/>
            </w:rPr>
            <w:t>https://oktawave.com/</w:t>
          </w:r>
        </w:p>
        <w:p w14:paraId="10C2F6B6" w14:textId="77777777" w:rsidR="004A63A8" w:rsidRDefault="004A63A8" w:rsidP="004A63A8">
          <w:pPr>
            <w:spacing w:line="220" w:lineRule="auto"/>
          </w:pPr>
          <w:r>
            <w:rPr>
              <w:color w:val="404040"/>
              <w:sz w:val="14"/>
              <w:szCs w:val="14"/>
            </w:rPr>
            <w:t>KRS: 0000858468, NIP: 5213633306, REGON: 146197794</w:t>
          </w:r>
        </w:p>
        <w:p w14:paraId="227F5B31" w14:textId="77777777" w:rsidR="004A63A8" w:rsidRDefault="004A63A8" w:rsidP="004A63A8">
          <w:pPr>
            <w:spacing w:line="220" w:lineRule="auto"/>
          </w:pPr>
          <w:r>
            <w:rPr>
              <w:color w:val="404040"/>
              <w:sz w:val="14"/>
              <w:szCs w:val="14"/>
            </w:rPr>
            <w:t>Kapitał zakładowy: 5.397.410,00 PLN</w:t>
          </w:r>
        </w:p>
      </w:tc>
    </w:tr>
  </w:tbl>
  <w:p w14:paraId="413D0402" w14:textId="3314E2F0" w:rsidR="00DD2678" w:rsidRDefault="00000000">
    <w:pPr>
      <w:pBdr>
        <w:top w:val="single" w:sz="6" w:space="1" w:color="BFBFBF"/>
      </w:pBdr>
      <w:spacing w:before="60"/>
      <w:jc w:val="right"/>
    </w:pPr>
    <w:r>
      <w:rPr>
        <w:color w:val="808080"/>
        <w:sz w:val="14"/>
        <w:szCs w:val="14"/>
      </w:rPr>
      <w:t xml:space="preserve">Strona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4A63A8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 xml:space="preserve"> z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NUMPAGES</w:instrText>
    </w:r>
    <w:r>
      <w:rPr>
        <w:color w:val="808080"/>
        <w:sz w:val="14"/>
        <w:szCs w:val="14"/>
      </w:rPr>
      <w:fldChar w:fldCharType="separate"/>
    </w:r>
    <w:r w:rsidR="004A63A8">
      <w:rPr>
        <w:noProof/>
        <w:color w:val="808080"/>
        <w:sz w:val="14"/>
        <w:szCs w:val="14"/>
      </w:rPr>
      <w:t>2</w:t>
    </w:r>
    <w:r>
      <w:rPr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36E4" w14:textId="77777777" w:rsidR="00EC35CC" w:rsidRDefault="00EC35CC">
      <w:r>
        <w:separator/>
      </w:r>
    </w:p>
  </w:footnote>
  <w:footnote w:type="continuationSeparator" w:id="0">
    <w:p w14:paraId="51679005" w14:textId="77777777" w:rsidR="00EC35CC" w:rsidRDefault="00EC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AD76" w14:textId="036058AE" w:rsidR="00DD2678" w:rsidRDefault="00000000" w:rsidP="004A63A8">
    <w:pPr>
      <w:spacing w:after="80"/>
      <w:jc w:val="center"/>
    </w:pPr>
    <w:r>
      <w:rPr>
        <w:noProof/>
      </w:rPr>
      <w:drawing>
        <wp:inline distT="0" distB="0" distL="0" distR="0" wp14:anchorId="5A78D77F" wp14:editId="68F00EE2">
          <wp:extent cx="57150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D139F"/>
    <w:multiLevelType w:val="hybridMultilevel"/>
    <w:tmpl w:val="B7BC192E"/>
    <w:lvl w:ilvl="0" w:tplc="4118A7E0">
      <w:start w:val="1"/>
      <w:numFmt w:val="bullet"/>
      <w:lvlText w:val="•"/>
      <w:lvlJc w:val="left"/>
      <w:pPr>
        <w:ind w:left="540" w:hanging="280"/>
      </w:pPr>
    </w:lvl>
    <w:lvl w:ilvl="1" w:tplc="DAD239BA">
      <w:start w:val="1"/>
      <w:numFmt w:val="bullet"/>
      <w:lvlText w:val="–"/>
      <w:lvlJc w:val="left"/>
      <w:pPr>
        <w:ind w:left="1080" w:hanging="280"/>
      </w:pPr>
    </w:lvl>
    <w:lvl w:ilvl="2" w:tplc="144C09D6">
      <w:numFmt w:val="decimal"/>
      <w:lvlText w:val=""/>
      <w:lvlJc w:val="left"/>
    </w:lvl>
    <w:lvl w:ilvl="3" w:tplc="A6F44CAA">
      <w:numFmt w:val="decimal"/>
      <w:lvlText w:val=""/>
      <w:lvlJc w:val="left"/>
    </w:lvl>
    <w:lvl w:ilvl="4" w:tplc="650E5FD0">
      <w:numFmt w:val="decimal"/>
      <w:lvlText w:val=""/>
      <w:lvlJc w:val="left"/>
    </w:lvl>
    <w:lvl w:ilvl="5" w:tplc="3B1ADFC0">
      <w:numFmt w:val="decimal"/>
      <w:lvlText w:val=""/>
      <w:lvlJc w:val="left"/>
    </w:lvl>
    <w:lvl w:ilvl="6" w:tplc="4E2C4A54">
      <w:numFmt w:val="decimal"/>
      <w:lvlText w:val=""/>
      <w:lvlJc w:val="left"/>
    </w:lvl>
    <w:lvl w:ilvl="7" w:tplc="0C64C872">
      <w:numFmt w:val="decimal"/>
      <w:lvlText w:val=""/>
      <w:lvlJc w:val="left"/>
    </w:lvl>
    <w:lvl w:ilvl="8" w:tplc="31BA1A12">
      <w:numFmt w:val="decimal"/>
      <w:lvlText w:val=""/>
      <w:lvlJc w:val="left"/>
    </w:lvl>
  </w:abstractNum>
  <w:abstractNum w:abstractNumId="1" w15:restartNumberingAfterBreak="0">
    <w:nsid w:val="460C0284"/>
    <w:multiLevelType w:val="hybridMultilevel"/>
    <w:tmpl w:val="4DFADD34"/>
    <w:lvl w:ilvl="0" w:tplc="BB288E32">
      <w:start w:val="1"/>
      <w:numFmt w:val="decimal"/>
      <w:lvlText w:val="%1."/>
      <w:lvlJc w:val="left"/>
      <w:pPr>
        <w:ind w:left="540" w:hanging="360"/>
      </w:pPr>
    </w:lvl>
    <w:lvl w:ilvl="1" w:tplc="ADE0F0B6">
      <w:start w:val="1"/>
      <w:numFmt w:val="lowerLetter"/>
      <w:lvlText w:val="%2)"/>
      <w:lvlJc w:val="left"/>
      <w:pPr>
        <w:ind w:left="1080" w:hanging="360"/>
      </w:pPr>
    </w:lvl>
    <w:lvl w:ilvl="2" w:tplc="0B8C560C">
      <w:numFmt w:val="decimal"/>
      <w:lvlText w:val=""/>
      <w:lvlJc w:val="left"/>
    </w:lvl>
    <w:lvl w:ilvl="3" w:tplc="7CC629C8">
      <w:numFmt w:val="decimal"/>
      <w:lvlText w:val=""/>
      <w:lvlJc w:val="left"/>
    </w:lvl>
    <w:lvl w:ilvl="4" w:tplc="5D644B8A">
      <w:numFmt w:val="decimal"/>
      <w:lvlText w:val=""/>
      <w:lvlJc w:val="left"/>
    </w:lvl>
    <w:lvl w:ilvl="5" w:tplc="44363C68">
      <w:numFmt w:val="decimal"/>
      <w:lvlText w:val=""/>
      <w:lvlJc w:val="left"/>
    </w:lvl>
    <w:lvl w:ilvl="6" w:tplc="D0C00AF2">
      <w:numFmt w:val="decimal"/>
      <w:lvlText w:val=""/>
      <w:lvlJc w:val="left"/>
    </w:lvl>
    <w:lvl w:ilvl="7" w:tplc="5DE8E134">
      <w:numFmt w:val="decimal"/>
      <w:lvlText w:val=""/>
      <w:lvlJc w:val="left"/>
    </w:lvl>
    <w:lvl w:ilvl="8" w:tplc="1F9C1696">
      <w:numFmt w:val="decimal"/>
      <w:lvlText w:val=""/>
      <w:lvlJc w:val="left"/>
    </w:lvl>
  </w:abstractNum>
  <w:abstractNum w:abstractNumId="2" w15:restartNumberingAfterBreak="0">
    <w:nsid w:val="6FBE2860"/>
    <w:multiLevelType w:val="hybridMultilevel"/>
    <w:tmpl w:val="57B2CFB0"/>
    <w:lvl w:ilvl="0" w:tplc="4084656E">
      <w:start w:val="1"/>
      <w:numFmt w:val="bullet"/>
      <w:lvlText w:val="●"/>
      <w:lvlJc w:val="left"/>
      <w:pPr>
        <w:ind w:left="720" w:hanging="360"/>
      </w:pPr>
    </w:lvl>
    <w:lvl w:ilvl="1" w:tplc="8F9CC0F4">
      <w:start w:val="1"/>
      <w:numFmt w:val="bullet"/>
      <w:lvlText w:val="○"/>
      <w:lvlJc w:val="left"/>
      <w:pPr>
        <w:ind w:left="1440" w:hanging="360"/>
      </w:pPr>
    </w:lvl>
    <w:lvl w:ilvl="2" w:tplc="D32A79F6">
      <w:start w:val="1"/>
      <w:numFmt w:val="bullet"/>
      <w:lvlText w:val="■"/>
      <w:lvlJc w:val="left"/>
      <w:pPr>
        <w:ind w:left="2160" w:hanging="360"/>
      </w:pPr>
    </w:lvl>
    <w:lvl w:ilvl="3" w:tplc="5C2806FC">
      <w:start w:val="1"/>
      <w:numFmt w:val="bullet"/>
      <w:lvlText w:val="●"/>
      <w:lvlJc w:val="left"/>
      <w:pPr>
        <w:ind w:left="2880" w:hanging="360"/>
      </w:pPr>
    </w:lvl>
    <w:lvl w:ilvl="4" w:tplc="36E2CF62">
      <w:start w:val="1"/>
      <w:numFmt w:val="bullet"/>
      <w:lvlText w:val="○"/>
      <w:lvlJc w:val="left"/>
      <w:pPr>
        <w:ind w:left="3600" w:hanging="360"/>
      </w:pPr>
    </w:lvl>
    <w:lvl w:ilvl="5" w:tplc="A0240F76">
      <w:start w:val="1"/>
      <w:numFmt w:val="bullet"/>
      <w:lvlText w:val="■"/>
      <w:lvlJc w:val="left"/>
      <w:pPr>
        <w:ind w:left="4320" w:hanging="360"/>
      </w:pPr>
    </w:lvl>
    <w:lvl w:ilvl="6" w:tplc="60900AD8">
      <w:start w:val="1"/>
      <w:numFmt w:val="bullet"/>
      <w:lvlText w:val="●"/>
      <w:lvlJc w:val="left"/>
      <w:pPr>
        <w:ind w:left="5040" w:hanging="360"/>
      </w:pPr>
    </w:lvl>
    <w:lvl w:ilvl="7" w:tplc="77AEC2AC">
      <w:start w:val="1"/>
      <w:numFmt w:val="bullet"/>
      <w:lvlText w:val="●"/>
      <w:lvlJc w:val="left"/>
      <w:pPr>
        <w:ind w:left="5760" w:hanging="360"/>
      </w:pPr>
    </w:lvl>
    <w:lvl w:ilvl="8" w:tplc="EACE8862">
      <w:start w:val="1"/>
      <w:numFmt w:val="bullet"/>
      <w:lvlText w:val="●"/>
      <w:lvlJc w:val="left"/>
      <w:pPr>
        <w:ind w:left="6480" w:hanging="360"/>
      </w:pPr>
    </w:lvl>
  </w:abstractNum>
  <w:num w:numId="1" w16cid:durableId="957223589">
    <w:abstractNumId w:val="2"/>
    <w:lvlOverride w:ilvl="0">
      <w:startOverride w:val="1"/>
    </w:lvlOverride>
  </w:num>
  <w:num w:numId="2" w16cid:durableId="989212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78"/>
    <w:rsid w:val="001F6497"/>
    <w:rsid w:val="00222DFE"/>
    <w:rsid w:val="00320ABC"/>
    <w:rsid w:val="003F5B42"/>
    <w:rsid w:val="00461911"/>
    <w:rsid w:val="004A63A8"/>
    <w:rsid w:val="005B0575"/>
    <w:rsid w:val="00655038"/>
    <w:rsid w:val="00981377"/>
    <w:rsid w:val="00A87C37"/>
    <w:rsid w:val="00B121D4"/>
    <w:rsid w:val="00C5184B"/>
    <w:rsid w:val="00DD2678"/>
    <w:rsid w:val="00EC35CC"/>
    <w:rsid w:val="00F36F26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37E11"/>
  <w15:docId w15:val="{30D16CF8-2835-C44E-AE1E-1ABB1D4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pBdr>
        <w:bottom w:val="single" w:sz="4" w:space="2" w:color="1F6FB2"/>
      </w:pBdr>
      <w:spacing w:before="240" w:after="120"/>
      <w:outlineLvl w:val="0"/>
    </w:pPr>
    <w:rPr>
      <w:b/>
      <w:bCs/>
      <w:caps/>
      <w:color w:val="1F4E79"/>
      <w:sz w:val="24"/>
      <w:szCs w:val="24"/>
    </w:rPr>
  </w:style>
  <w:style w:type="paragraph" w:styleId="Nagwek2">
    <w:name w:val="heading 2"/>
    <w:uiPriority w:val="9"/>
    <w:unhideWhenUsed/>
    <w:qFormat/>
    <w:pPr>
      <w:spacing w:before="160" w:after="80"/>
      <w:outlineLvl w:val="1"/>
    </w:pPr>
    <w:rPr>
      <w:b/>
      <w:bCs/>
      <w:color w:val="1F4E79"/>
      <w:sz w:val="22"/>
      <w:szCs w:val="22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spacing w:before="120" w:after="120"/>
      <w:jc w:val="center"/>
    </w:pPr>
    <w:rPr>
      <w:b/>
      <w:bCs/>
      <w:sz w:val="30"/>
      <w:szCs w:val="30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3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63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3A8"/>
  </w:style>
  <w:style w:type="paragraph" w:styleId="Stopka">
    <w:name w:val="footer"/>
    <w:basedOn w:val="Normalny"/>
    <w:link w:val="StopkaZnak"/>
    <w:uiPriority w:val="99"/>
    <w:unhideWhenUsed/>
    <w:rsid w:val="004A6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Oktawave S.A.</dc:creator>
  <cp:lastModifiedBy>Autor 1</cp:lastModifiedBy>
  <cp:revision>4</cp:revision>
  <dcterms:created xsi:type="dcterms:W3CDTF">2026-06-26T15:27:00Z</dcterms:created>
  <dcterms:modified xsi:type="dcterms:W3CDTF">2026-06-27T13:21:00Z</dcterms:modified>
</cp:coreProperties>
</file>