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90F88" w14:textId="77777777" w:rsidR="00FF7E86" w:rsidRPr="00B05B90" w:rsidRDefault="00000000" w:rsidP="00B05B90">
      <w:pPr>
        <w:jc w:val="center"/>
        <w:rPr>
          <w:sz w:val="20"/>
          <w:szCs w:val="20"/>
        </w:rPr>
      </w:pPr>
      <w:r w:rsidRPr="00B05B90">
        <w:rPr>
          <w:i/>
          <w:iCs/>
          <w:sz w:val="20"/>
          <w:szCs w:val="20"/>
        </w:rPr>
        <w:t xml:space="preserve">Załącznik nr 8 do Zapytania ofertowego nr </w:t>
      </w:r>
      <w:r w:rsidRPr="00B05B90">
        <w:rPr>
          <w:b/>
          <w:bCs/>
          <w:sz w:val="20"/>
          <w:szCs w:val="20"/>
        </w:rPr>
        <w:t>2026-69832-282193</w:t>
      </w:r>
    </w:p>
    <w:p w14:paraId="17559BBE" w14:textId="52B1176D" w:rsidR="00FF7E86" w:rsidRPr="00B05B90" w:rsidRDefault="00000000" w:rsidP="00B05B90">
      <w:pPr>
        <w:spacing w:after="200"/>
        <w:jc w:val="center"/>
        <w:rPr>
          <w:sz w:val="20"/>
          <w:szCs w:val="20"/>
        </w:rPr>
      </w:pPr>
      <w:r w:rsidRPr="00B05B90">
        <w:rPr>
          <w:i/>
          <w:iCs/>
          <w:sz w:val="20"/>
          <w:szCs w:val="20"/>
        </w:rPr>
        <w:t xml:space="preserve">z dnia </w:t>
      </w:r>
      <w:r w:rsidR="00B05B90">
        <w:rPr>
          <w:i/>
          <w:iCs/>
          <w:sz w:val="20"/>
          <w:szCs w:val="20"/>
        </w:rPr>
        <w:t>2</w:t>
      </w:r>
      <w:r w:rsidR="0029259A">
        <w:rPr>
          <w:i/>
          <w:iCs/>
          <w:sz w:val="20"/>
          <w:szCs w:val="20"/>
        </w:rPr>
        <w:t>9</w:t>
      </w:r>
      <w:r w:rsidR="00B05B90">
        <w:rPr>
          <w:i/>
          <w:iCs/>
          <w:sz w:val="20"/>
          <w:szCs w:val="20"/>
        </w:rPr>
        <w:t xml:space="preserve"> czerwca 2026 r. </w:t>
      </w:r>
    </w:p>
    <w:p w14:paraId="4A447880" w14:textId="77777777" w:rsidR="00FF7E86" w:rsidRPr="00B05B90" w:rsidRDefault="00000000">
      <w:pPr>
        <w:pStyle w:val="Tytu"/>
        <w:rPr>
          <w:sz w:val="28"/>
          <w:szCs w:val="28"/>
        </w:rPr>
      </w:pPr>
      <w:r w:rsidRPr="00B05B90">
        <w:rPr>
          <w:sz w:val="28"/>
          <w:szCs w:val="28"/>
        </w:rPr>
        <w:t>Kryteria oceny ofert</w:t>
      </w:r>
    </w:p>
    <w:p w14:paraId="3FCFB458" w14:textId="77777777" w:rsidR="00FF7E86" w:rsidRDefault="00000000">
      <w:pPr>
        <w:spacing w:after="120" w:line="264" w:lineRule="auto"/>
        <w:jc w:val="both"/>
      </w:pPr>
      <w:r>
        <w:t>Zamawiający dokona oceny ofert niepodlegających odrzuceniu na podstawie poniższych kryteriów. Maksymalna łączna liczba punktów możliwych do uzyskania wynosi 100 pkt (Cena – 30 pkt, Jakość – 70 pkt).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"/>
        <w:gridCol w:w="4000"/>
        <w:gridCol w:w="1500"/>
        <w:gridCol w:w="3618"/>
      </w:tblGrid>
      <w:tr w:rsidR="00FF7E86" w14:paraId="7F1D1190" w14:textId="77777777">
        <w:tc>
          <w:tcPr>
            <w:tcW w:w="520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shd w:val="clear" w:color="auto" w:fill="1F6FB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4678C0" w14:textId="77777777" w:rsidR="00FF7E86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Lp.</w:t>
            </w:r>
          </w:p>
        </w:tc>
        <w:tc>
          <w:tcPr>
            <w:tcW w:w="4000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shd w:val="clear" w:color="auto" w:fill="1F6FB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931CFE" w14:textId="77777777" w:rsidR="00FF7E86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Kryterium</w:t>
            </w:r>
          </w:p>
        </w:tc>
        <w:tc>
          <w:tcPr>
            <w:tcW w:w="1500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shd w:val="clear" w:color="auto" w:fill="1F6FB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CBFB6F" w14:textId="77777777" w:rsidR="00FF7E86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Waga / max pkt</w:t>
            </w:r>
          </w:p>
        </w:tc>
        <w:tc>
          <w:tcPr>
            <w:tcW w:w="3618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shd w:val="clear" w:color="auto" w:fill="1F6FB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79D640" w14:textId="77777777" w:rsidR="00FF7E86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Sposób oceny</w:t>
            </w:r>
          </w:p>
        </w:tc>
      </w:tr>
      <w:tr w:rsidR="00FF7E86" w14:paraId="6534783C" w14:textId="77777777">
        <w:tc>
          <w:tcPr>
            <w:tcW w:w="520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37C9FC" w14:textId="77777777" w:rsidR="00FF7E86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4000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4C8804" w14:textId="77777777" w:rsidR="00FF7E86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Cena</w:t>
            </w:r>
          </w:p>
        </w:tc>
        <w:tc>
          <w:tcPr>
            <w:tcW w:w="1500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0AAF28" w14:textId="77777777" w:rsidR="00FF7E86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30% / 30 pkt</w:t>
            </w:r>
          </w:p>
        </w:tc>
        <w:tc>
          <w:tcPr>
            <w:tcW w:w="3618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EE8A18" w14:textId="77777777" w:rsidR="00FF7E86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P = (</w:t>
            </w:r>
            <w:proofErr w:type="spellStart"/>
            <w:r>
              <w:rPr>
                <w:sz w:val="19"/>
                <w:szCs w:val="19"/>
              </w:rPr>
              <w:t>C_min</w:t>
            </w:r>
            <w:proofErr w:type="spellEnd"/>
            <w:r>
              <w:rPr>
                <w:sz w:val="19"/>
                <w:szCs w:val="19"/>
              </w:rPr>
              <w:t xml:space="preserve"> / </w:t>
            </w:r>
            <w:proofErr w:type="spellStart"/>
            <w:r>
              <w:rPr>
                <w:sz w:val="19"/>
                <w:szCs w:val="19"/>
              </w:rPr>
              <w:t>C_bad</w:t>
            </w:r>
            <w:proofErr w:type="spellEnd"/>
            <w:r>
              <w:rPr>
                <w:sz w:val="19"/>
                <w:szCs w:val="19"/>
              </w:rPr>
              <w:t xml:space="preserve">) × 30, gdzie </w:t>
            </w:r>
            <w:proofErr w:type="spellStart"/>
            <w:r>
              <w:rPr>
                <w:sz w:val="19"/>
                <w:szCs w:val="19"/>
              </w:rPr>
              <w:t>C_min</w:t>
            </w:r>
            <w:proofErr w:type="spellEnd"/>
            <w:r>
              <w:rPr>
                <w:sz w:val="19"/>
                <w:szCs w:val="19"/>
              </w:rPr>
              <w:t xml:space="preserve"> – najniższa cena brutto spośród ofert nieodrzuconych, </w:t>
            </w:r>
            <w:proofErr w:type="spellStart"/>
            <w:r>
              <w:rPr>
                <w:sz w:val="19"/>
                <w:szCs w:val="19"/>
              </w:rPr>
              <w:t>C_bad</w:t>
            </w:r>
            <w:proofErr w:type="spellEnd"/>
            <w:r>
              <w:rPr>
                <w:sz w:val="19"/>
                <w:szCs w:val="19"/>
              </w:rPr>
              <w:t xml:space="preserve"> – cena brutto oferty badanej.</w:t>
            </w:r>
          </w:p>
        </w:tc>
      </w:tr>
      <w:tr w:rsidR="00FF7E86" w14:paraId="0D55B6C3" w14:textId="77777777">
        <w:tc>
          <w:tcPr>
            <w:tcW w:w="520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F57482" w14:textId="77777777" w:rsidR="00FF7E86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4000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83697A" w14:textId="77777777" w:rsidR="00FF7E86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Jakość – doświadczenie i kompetencje personelu</w:t>
            </w:r>
          </w:p>
        </w:tc>
        <w:tc>
          <w:tcPr>
            <w:tcW w:w="1500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726DC0" w14:textId="77777777" w:rsidR="00FF7E86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20% / 20 pkt</w:t>
            </w:r>
          </w:p>
        </w:tc>
        <w:tc>
          <w:tcPr>
            <w:tcW w:w="3618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E91EF6" w14:textId="77777777" w:rsidR="00FF7E86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Punkty za potwierdzone kwalifikacje i doświadczenie kluczowego personelu ponad wymagane minimum (zgodnie z tabelą poniżej).</w:t>
            </w:r>
          </w:p>
        </w:tc>
      </w:tr>
      <w:tr w:rsidR="00FF7E86" w14:paraId="544E8A2B" w14:textId="77777777">
        <w:tc>
          <w:tcPr>
            <w:tcW w:w="520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50FFD4" w14:textId="77777777" w:rsidR="00FF7E86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4000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732934" w14:textId="77777777" w:rsidR="00FF7E86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Jakość – doświadczenie wynikające z referencji</w:t>
            </w:r>
          </w:p>
        </w:tc>
        <w:tc>
          <w:tcPr>
            <w:tcW w:w="1500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008AC7" w14:textId="77777777" w:rsidR="00FF7E86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20% / 20 pkt</w:t>
            </w:r>
          </w:p>
        </w:tc>
        <w:tc>
          <w:tcPr>
            <w:tcW w:w="3618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D8DACD" w14:textId="77777777" w:rsidR="00FF7E86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Punkty za dodatkowe usługi potwierdzone referencjami, wykraczające ponad warunek udziału (zgodnie z tabelą poniżej).</w:t>
            </w:r>
          </w:p>
        </w:tc>
      </w:tr>
      <w:tr w:rsidR="00FF7E86" w14:paraId="7F5EB1C9" w14:textId="77777777">
        <w:tc>
          <w:tcPr>
            <w:tcW w:w="520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176717" w14:textId="77777777" w:rsidR="00FF7E86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4000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DADB88" w14:textId="77777777" w:rsidR="00FF7E86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Jakość – koncepcja realizacji projektu</w:t>
            </w:r>
          </w:p>
        </w:tc>
        <w:tc>
          <w:tcPr>
            <w:tcW w:w="1500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24EC1E" w14:textId="77777777" w:rsidR="00FF7E86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30% / 30 pkt</w:t>
            </w:r>
          </w:p>
        </w:tc>
        <w:tc>
          <w:tcPr>
            <w:tcW w:w="3618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82EA2D" w14:textId="77777777" w:rsidR="00FF7E86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Ocena merytoryczna koncepcji przedstawionej w ofercie (zgodnie z tabelą poniżej).</w:t>
            </w:r>
          </w:p>
        </w:tc>
      </w:tr>
    </w:tbl>
    <w:p w14:paraId="6ED76C5F" w14:textId="77777777" w:rsidR="00FF7E86" w:rsidRDefault="00FF7E86">
      <w:pPr>
        <w:spacing w:after="120" w:line="264" w:lineRule="auto"/>
        <w:jc w:val="both"/>
      </w:pPr>
    </w:p>
    <w:p w14:paraId="59655832" w14:textId="77777777" w:rsidR="00FF7E86" w:rsidRDefault="00000000">
      <w:pPr>
        <w:pStyle w:val="Nagwek1"/>
      </w:pPr>
      <w:r>
        <w:t>Kryterium 1 – Cena (30 pkt)</w:t>
      </w:r>
    </w:p>
    <w:p w14:paraId="1FF54E5B" w14:textId="77777777" w:rsidR="00FF7E86" w:rsidRDefault="00000000">
      <w:pPr>
        <w:spacing w:after="120" w:line="264" w:lineRule="auto"/>
        <w:jc w:val="both"/>
      </w:pPr>
      <w:r>
        <w:t>Ocenie podlega całkowita cena brutto realizacji zamówienia podana w Formularzu ofertowym (Załącznik nr 1). Oferta z najniższą ceną otrzymuje maksymalną liczbę 30 pkt; pozostałe oferty otrzymują liczbę punktów wyliczoną według wzoru: liczba punktów = (najniższa cena brutto / cena brutto oferty badanej) × 30.</w:t>
      </w:r>
    </w:p>
    <w:p w14:paraId="20CBCAE2" w14:textId="77777777" w:rsidR="00FF7E86" w:rsidRDefault="00000000">
      <w:pPr>
        <w:pStyle w:val="Nagwek1"/>
      </w:pPr>
      <w:r>
        <w:t>Kryterium 2 – Doświadczenie i kompetencje personelu (20 pkt)</w:t>
      </w:r>
    </w:p>
    <w:p w14:paraId="45330110" w14:textId="77777777" w:rsidR="00FF7E86" w:rsidRDefault="00000000">
      <w:pPr>
        <w:spacing w:after="120" w:line="264" w:lineRule="auto"/>
        <w:jc w:val="both"/>
      </w:pPr>
      <w:r>
        <w:t>Ocena obejmuje doświadczenie i kwalifikacje kluczowego personelu wykraczające ponad minimum określone w warunkach udziału. Proponowany rozkład punktów przedstawiono poniżej.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0"/>
        <w:gridCol w:w="2069"/>
        <w:gridCol w:w="2069"/>
      </w:tblGrid>
      <w:tr w:rsidR="00FF7E86" w14:paraId="648524F1" w14:textId="77777777">
        <w:tc>
          <w:tcPr>
            <w:tcW w:w="5500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shd w:val="clear" w:color="auto" w:fill="1F6FB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BCAF28" w14:textId="77777777" w:rsidR="00FF7E86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Podkryterium</w:t>
            </w:r>
            <w:proofErr w:type="spellEnd"/>
          </w:p>
        </w:tc>
        <w:tc>
          <w:tcPr>
            <w:tcW w:w="2069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shd w:val="clear" w:color="auto" w:fill="1F6FB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988465" w14:textId="77777777" w:rsidR="00FF7E86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Sposób oceny</w:t>
            </w:r>
          </w:p>
        </w:tc>
        <w:tc>
          <w:tcPr>
            <w:tcW w:w="2069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shd w:val="clear" w:color="auto" w:fill="1F6FB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1C01FE" w14:textId="77777777" w:rsidR="00FF7E86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Max pkt</w:t>
            </w:r>
          </w:p>
        </w:tc>
      </w:tr>
      <w:tr w:rsidR="00FF7E86" w14:paraId="6AD1648B" w14:textId="77777777">
        <w:tc>
          <w:tcPr>
            <w:tcW w:w="5500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E7302E" w14:textId="77777777" w:rsidR="00FF7E86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Dodatkowe projekty kluczowych specjalistów (</w:t>
            </w:r>
            <w:proofErr w:type="spellStart"/>
            <w:r>
              <w:rPr>
                <w:sz w:val="19"/>
                <w:szCs w:val="19"/>
              </w:rPr>
              <w:t>Cloud</w:t>
            </w:r>
            <w:proofErr w:type="spellEnd"/>
            <w:r>
              <w:rPr>
                <w:sz w:val="19"/>
                <w:szCs w:val="19"/>
              </w:rPr>
              <w:t xml:space="preserve"> Architect / Cybersecurity Architect) ponad minimum</w:t>
            </w:r>
          </w:p>
        </w:tc>
        <w:tc>
          <w:tcPr>
            <w:tcW w:w="2069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304481" w14:textId="77777777" w:rsidR="00FF7E86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2 pkt za każdy dodatkowy projekt, max 8 pkt</w:t>
            </w:r>
          </w:p>
        </w:tc>
        <w:tc>
          <w:tcPr>
            <w:tcW w:w="2069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C0E301" w14:textId="77777777" w:rsidR="00FF7E86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8</w:t>
            </w:r>
          </w:p>
        </w:tc>
      </w:tr>
      <w:tr w:rsidR="00FF7E86" w14:paraId="78A45B07" w14:textId="77777777">
        <w:tc>
          <w:tcPr>
            <w:tcW w:w="5500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0B17C3" w14:textId="77777777" w:rsidR="00FF7E86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Dodatkowe lata doświadczenia architektów ponad minimum</w:t>
            </w:r>
          </w:p>
        </w:tc>
        <w:tc>
          <w:tcPr>
            <w:tcW w:w="2069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9B8A01" w14:textId="77777777" w:rsidR="00FF7E86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1 pkt za każdy dodatkowy rok, max 6 pkt</w:t>
            </w:r>
          </w:p>
        </w:tc>
        <w:tc>
          <w:tcPr>
            <w:tcW w:w="2069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0A0D13" w14:textId="77777777" w:rsidR="00FF7E86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6</w:t>
            </w:r>
          </w:p>
        </w:tc>
      </w:tr>
      <w:tr w:rsidR="00FF7E86" w14:paraId="14D4856C" w14:textId="77777777">
        <w:tc>
          <w:tcPr>
            <w:tcW w:w="5500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452689" w14:textId="77777777" w:rsidR="00FF7E86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lastRenderedPageBreak/>
              <w:t>Dodatkowe certyfikaty branżowe członków zespołu (poza wymaganymi)</w:t>
            </w:r>
          </w:p>
        </w:tc>
        <w:tc>
          <w:tcPr>
            <w:tcW w:w="2069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E42D82" w14:textId="77777777" w:rsidR="00FF7E86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1 pkt za certyfikat, max 6 pkt</w:t>
            </w:r>
          </w:p>
        </w:tc>
        <w:tc>
          <w:tcPr>
            <w:tcW w:w="2069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B2C8F6" w14:textId="77777777" w:rsidR="00FF7E86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6</w:t>
            </w:r>
          </w:p>
        </w:tc>
      </w:tr>
    </w:tbl>
    <w:p w14:paraId="380F440C" w14:textId="77777777" w:rsidR="00FF7E86" w:rsidRDefault="00000000">
      <w:pPr>
        <w:pStyle w:val="Nagwek1"/>
      </w:pPr>
      <w:r>
        <w:t>Kryterium 3 – Doświadczenie wynikające z referencji (20 pkt)</w:t>
      </w:r>
    </w:p>
    <w:p w14:paraId="3CB24299" w14:textId="77777777" w:rsidR="00FF7E86" w:rsidRDefault="00000000">
      <w:pPr>
        <w:spacing w:after="120" w:line="264" w:lineRule="auto"/>
        <w:jc w:val="both"/>
      </w:pPr>
      <w:r>
        <w:t>Ocena obejmuje usługi potwierdzone referencjami wykraczające ponad minimum wymagane w warunkach udziału. Proponowany rozkład punktów przedstawiono poniżej.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0"/>
        <w:gridCol w:w="2069"/>
        <w:gridCol w:w="2069"/>
      </w:tblGrid>
      <w:tr w:rsidR="00FF7E86" w14:paraId="70317619" w14:textId="77777777">
        <w:tc>
          <w:tcPr>
            <w:tcW w:w="5500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shd w:val="clear" w:color="auto" w:fill="1F6FB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B1B0F0" w14:textId="77777777" w:rsidR="00FF7E86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Podkryterium</w:t>
            </w:r>
            <w:proofErr w:type="spellEnd"/>
          </w:p>
        </w:tc>
        <w:tc>
          <w:tcPr>
            <w:tcW w:w="2069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shd w:val="clear" w:color="auto" w:fill="1F6FB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DDBA5C" w14:textId="77777777" w:rsidR="00FF7E86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Sposób oceny</w:t>
            </w:r>
          </w:p>
        </w:tc>
        <w:tc>
          <w:tcPr>
            <w:tcW w:w="2069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shd w:val="clear" w:color="auto" w:fill="1F6FB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4326BA" w14:textId="77777777" w:rsidR="00FF7E86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Max pkt</w:t>
            </w:r>
          </w:p>
        </w:tc>
      </w:tr>
      <w:tr w:rsidR="00FF7E86" w14:paraId="13032E14" w14:textId="77777777">
        <w:tc>
          <w:tcPr>
            <w:tcW w:w="5500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8C96B1" w14:textId="77777777" w:rsidR="00FF7E86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Dodatkowe usługi zarządzania chmurą obliczeniową (&gt; 1 mln PLN) ponad minimum</w:t>
            </w:r>
          </w:p>
        </w:tc>
        <w:tc>
          <w:tcPr>
            <w:tcW w:w="2069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7DD6A6" w14:textId="77777777" w:rsidR="00FF7E86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3 pkt za usługę, max 9 pkt</w:t>
            </w:r>
          </w:p>
        </w:tc>
        <w:tc>
          <w:tcPr>
            <w:tcW w:w="2069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A069AF" w14:textId="77777777" w:rsidR="00FF7E86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9</w:t>
            </w:r>
          </w:p>
        </w:tc>
      </w:tr>
      <w:tr w:rsidR="00FF7E86" w14:paraId="1136CA30" w14:textId="77777777">
        <w:tc>
          <w:tcPr>
            <w:tcW w:w="5500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0B5E06" w14:textId="77777777" w:rsidR="00FF7E86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Dodatkowe usługi w obszarze ustawy o KSC dla podmiotów z art. 4 pkt 16 (&gt; 1 mln PLN)</w:t>
            </w:r>
          </w:p>
        </w:tc>
        <w:tc>
          <w:tcPr>
            <w:tcW w:w="2069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230530" w14:textId="77777777" w:rsidR="00FF7E86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3 pkt za usługę, max 6 pkt</w:t>
            </w:r>
          </w:p>
        </w:tc>
        <w:tc>
          <w:tcPr>
            <w:tcW w:w="2069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8AE9C3" w14:textId="77777777" w:rsidR="00FF7E86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6</w:t>
            </w:r>
          </w:p>
        </w:tc>
      </w:tr>
      <w:tr w:rsidR="00FF7E86" w14:paraId="33D711E5" w14:textId="77777777">
        <w:tc>
          <w:tcPr>
            <w:tcW w:w="5500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F75FF0" w14:textId="77777777" w:rsidR="00FF7E86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 xml:space="preserve">Dodatkowe usługi oparte o Google </w:t>
            </w:r>
            <w:proofErr w:type="spellStart"/>
            <w:r>
              <w:rPr>
                <w:sz w:val="19"/>
                <w:szCs w:val="19"/>
              </w:rPr>
              <w:t>Cloud</w:t>
            </w:r>
            <w:proofErr w:type="spellEnd"/>
            <w:r>
              <w:rPr>
                <w:sz w:val="19"/>
                <w:szCs w:val="19"/>
              </w:rPr>
              <w:t xml:space="preserve"> (&gt; 1 mln PLN) ponad minimum</w:t>
            </w:r>
          </w:p>
        </w:tc>
        <w:tc>
          <w:tcPr>
            <w:tcW w:w="2069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28657D" w14:textId="77777777" w:rsidR="00FF7E86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2,5 pkt za usługę, max 5 pkt</w:t>
            </w:r>
          </w:p>
        </w:tc>
        <w:tc>
          <w:tcPr>
            <w:tcW w:w="2069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CA2415" w14:textId="77777777" w:rsidR="00FF7E86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5</w:t>
            </w:r>
          </w:p>
        </w:tc>
      </w:tr>
    </w:tbl>
    <w:p w14:paraId="5CD656FB" w14:textId="77777777" w:rsidR="00FF7E86" w:rsidRDefault="00000000">
      <w:pPr>
        <w:pStyle w:val="Nagwek1"/>
      </w:pPr>
      <w:r>
        <w:t>Kryterium 4 – Koncepcja realizacji projektu (30 pkt)</w:t>
      </w:r>
    </w:p>
    <w:p w14:paraId="25D3BE64" w14:textId="77777777" w:rsidR="00FF7E86" w:rsidRDefault="00000000">
      <w:pPr>
        <w:spacing w:after="120" w:line="264" w:lineRule="auto"/>
        <w:jc w:val="both"/>
      </w:pPr>
      <w:r>
        <w:t>Ocenie merytorycznej podlega koncepcja realizacji projektu przedstawiona w ofercie, w szczególności: kompletność i spójność proponowanej architektury, podejście do integracji komponentów, metodyka prac badawczo-rozwojowych, zarządzanie ryzykiem i jakością, podejście do testów oraz walidacji, a także realność i adekwatność Harmonogramu.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0"/>
        <w:gridCol w:w="2069"/>
        <w:gridCol w:w="2069"/>
      </w:tblGrid>
      <w:tr w:rsidR="00FF7E86" w14:paraId="2049ABB9" w14:textId="77777777">
        <w:tc>
          <w:tcPr>
            <w:tcW w:w="5500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shd w:val="clear" w:color="auto" w:fill="1F6FB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3BC8B0" w14:textId="77777777" w:rsidR="00FF7E86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Podkryterium</w:t>
            </w:r>
            <w:proofErr w:type="spellEnd"/>
          </w:p>
        </w:tc>
        <w:tc>
          <w:tcPr>
            <w:tcW w:w="2069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shd w:val="clear" w:color="auto" w:fill="1F6FB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8ED0EB" w14:textId="77777777" w:rsidR="00FF7E86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Sposób oceny</w:t>
            </w:r>
          </w:p>
        </w:tc>
        <w:tc>
          <w:tcPr>
            <w:tcW w:w="2069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shd w:val="clear" w:color="auto" w:fill="1F6FB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F19E11" w14:textId="77777777" w:rsidR="00FF7E86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Max pkt</w:t>
            </w:r>
          </w:p>
        </w:tc>
      </w:tr>
      <w:tr w:rsidR="00FF7E86" w14:paraId="675EE1ED" w14:textId="77777777">
        <w:tc>
          <w:tcPr>
            <w:tcW w:w="5500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4D9EDD" w14:textId="77777777" w:rsidR="00FF7E86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Architektura i podejście do integracji komponentów</w:t>
            </w:r>
          </w:p>
        </w:tc>
        <w:tc>
          <w:tcPr>
            <w:tcW w:w="2069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D46923" w14:textId="77777777" w:rsidR="00FF7E86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0–10 pkt (ocena ekspercka)</w:t>
            </w:r>
          </w:p>
        </w:tc>
        <w:tc>
          <w:tcPr>
            <w:tcW w:w="2069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D25049" w14:textId="77777777" w:rsidR="00FF7E86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10</w:t>
            </w:r>
          </w:p>
        </w:tc>
      </w:tr>
      <w:tr w:rsidR="00FF7E86" w14:paraId="65949013" w14:textId="77777777">
        <w:tc>
          <w:tcPr>
            <w:tcW w:w="5500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0E2008" w14:textId="77777777" w:rsidR="00FF7E86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Metodyka prac B+R, zarządzanie ryzykiem i jakością</w:t>
            </w:r>
          </w:p>
        </w:tc>
        <w:tc>
          <w:tcPr>
            <w:tcW w:w="2069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EFB211" w14:textId="77777777" w:rsidR="00FF7E86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0–10 pkt (ocena ekspercka)</w:t>
            </w:r>
          </w:p>
        </w:tc>
        <w:tc>
          <w:tcPr>
            <w:tcW w:w="2069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8F03E1" w14:textId="77777777" w:rsidR="00FF7E86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10</w:t>
            </w:r>
          </w:p>
        </w:tc>
      </w:tr>
      <w:tr w:rsidR="00FF7E86" w14:paraId="239261DE" w14:textId="77777777">
        <w:tc>
          <w:tcPr>
            <w:tcW w:w="5500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6811BB" w14:textId="77777777" w:rsidR="00FF7E86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Podejście do testów, walidacji z użytkownikami i Harmonogram</w:t>
            </w:r>
          </w:p>
        </w:tc>
        <w:tc>
          <w:tcPr>
            <w:tcW w:w="2069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7CEAD5" w14:textId="77777777" w:rsidR="00FF7E86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0–10 pkt (ocena ekspercka)</w:t>
            </w:r>
          </w:p>
        </w:tc>
        <w:tc>
          <w:tcPr>
            <w:tcW w:w="2069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49B430" w14:textId="77777777" w:rsidR="00FF7E86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10</w:t>
            </w:r>
          </w:p>
        </w:tc>
      </w:tr>
    </w:tbl>
    <w:p w14:paraId="41C13F9D" w14:textId="77777777" w:rsidR="00FF7E86" w:rsidRDefault="00FF7E86">
      <w:pPr>
        <w:spacing w:after="120" w:line="264" w:lineRule="auto"/>
        <w:jc w:val="both"/>
      </w:pPr>
    </w:p>
    <w:p w14:paraId="2DB24C31" w14:textId="77777777" w:rsidR="00FF7E86" w:rsidRDefault="00000000">
      <w:pPr>
        <w:spacing w:after="120" w:line="264" w:lineRule="auto"/>
        <w:jc w:val="both"/>
      </w:pPr>
      <w:r>
        <w:rPr>
          <w:b/>
          <w:bCs/>
        </w:rPr>
        <w:t>Suma punktów</w:t>
      </w:r>
      <w:r>
        <w:t xml:space="preserve"> = punkty za Cenę + punkty za Jakość (personel + referencje + koncepcja). Za najkorzystniejszą uznana zostanie oferta, która uzyska największą liczbę punktów (max 100).</w:t>
      </w:r>
    </w:p>
    <w:sectPr w:rsidR="00FF7E86">
      <w:headerReference w:type="default" r:id="rId7"/>
      <w:footerReference w:type="default" r:id="rId8"/>
      <w:pgSz w:w="11906" w:h="16838"/>
      <w:pgMar w:top="216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6814F" w14:textId="77777777" w:rsidR="00CB4E0A" w:rsidRDefault="00CB4E0A">
      <w:r>
        <w:separator/>
      </w:r>
    </w:p>
  </w:endnote>
  <w:endnote w:type="continuationSeparator" w:id="0">
    <w:p w14:paraId="22B8DD22" w14:textId="77777777" w:rsidR="00CB4E0A" w:rsidRDefault="00CB4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B723B" w14:textId="77777777" w:rsidR="00FF7E86" w:rsidRDefault="00000000" w:rsidP="00B05B90">
    <w:pPr>
      <w:pBdr>
        <w:top w:val="single" w:sz="6" w:space="1" w:color="BFBFBF"/>
      </w:pBdr>
      <w:spacing w:before="60"/>
      <w:rPr>
        <w:color w:val="808080"/>
        <w:sz w:val="14"/>
        <w:szCs w:val="14"/>
      </w:rPr>
    </w:pPr>
    <w:r>
      <w:rPr>
        <w:color w:val="808080"/>
        <w:sz w:val="14"/>
        <w:szCs w:val="14"/>
      </w:rPr>
      <w:t xml:space="preserve">Strona </w:t>
    </w:r>
    <w:r>
      <w:rPr>
        <w:color w:val="808080"/>
        <w:sz w:val="14"/>
        <w:szCs w:val="14"/>
      </w:rPr>
      <w:fldChar w:fldCharType="begin"/>
    </w:r>
    <w:r>
      <w:rPr>
        <w:color w:val="808080"/>
        <w:sz w:val="14"/>
        <w:szCs w:val="14"/>
      </w:rPr>
      <w:instrText>PAGE</w:instrText>
    </w:r>
    <w:r>
      <w:rPr>
        <w:color w:val="808080"/>
        <w:sz w:val="14"/>
        <w:szCs w:val="14"/>
      </w:rPr>
      <w:fldChar w:fldCharType="separate"/>
    </w:r>
    <w:r w:rsidR="00B05B90">
      <w:rPr>
        <w:noProof/>
        <w:color w:val="808080"/>
        <w:sz w:val="14"/>
        <w:szCs w:val="14"/>
      </w:rPr>
      <w:t>1</w:t>
    </w:r>
    <w:r>
      <w:rPr>
        <w:color w:val="808080"/>
        <w:sz w:val="14"/>
        <w:szCs w:val="14"/>
      </w:rPr>
      <w:fldChar w:fldCharType="end"/>
    </w:r>
    <w:r>
      <w:rPr>
        <w:color w:val="808080"/>
        <w:sz w:val="14"/>
        <w:szCs w:val="14"/>
      </w:rPr>
      <w:t xml:space="preserve"> z </w:t>
    </w:r>
    <w:r>
      <w:rPr>
        <w:color w:val="808080"/>
        <w:sz w:val="14"/>
        <w:szCs w:val="14"/>
      </w:rPr>
      <w:fldChar w:fldCharType="begin"/>
    </w:r>
    <w:r>
      <w:rPr>
        <w:color w:val="808080"/>
        <w:sz w:val="14"/>
        <w:szCs w:val="14"/>
      </w:rPr>
      <w:instrText>NUMPAGES</w:instrText>
    </w:r>
    <w:r>
      <w:rPr>
        <w:color w:val="808080"/>
        <w:sz w:val="14"/>
        <w:szCs w:val="14"/>
      </w:rPr>
      <w:fldChar w:fldCharType="separate"/>
    </w:r>
    <w:r w:rsidR="00B05B90">
      <w:rPr>
        <w:noProof/>
        <w:color w:val="808080"/>
        <w:sz w:val="14"/>
        <w:szCs w:val="14"/>
      </w:rPr>
      <w:t>2</w:t>
    </w:r>
    <w:r>
      <w:rPr>
        <w:color w:val="808080"/>
        <w:sz w:val="14"/>
        <w:szCs w:val="14"/>
      </w:rPr>
      <w:fldChar w:fldCharType="end"/>
    </w:r>
  </w:p>
  <w:p w14:paraId="523D81A1" w14:textId="77777777" w:rsidR="00B05B90" w:rsidRDefault="00B05B90" w:rsidP="00B05B90">
    <w:pPr>
      <w:pBdr>
        <w:top w:val="single" w:sz="6" w:space="1" w:color="BFBFBF"/>
      </w:pBdr>
      <w:spacing w:before="60"/>
      <w:rPr>
        <w:color w:val="808080"/>
        <w:sz w:val="14"/>
        <w:szCs w:val="14"/>
      </w:rPr>
    </w:pPr>
  </w:p>
  <w:p w14:paraId="2F761451" w14:textId="77777777" w:rsidR="00B05B90" w:rsidRDefault="00B05B90" w:rsidP="00B05B90">
    <w:pPr>
      <w:pBdr>
        <w:top w:val="single" w:sz="6" w:space="1" w:color="BFBFBF"/>
      </w:pBdr>
      <w:spacing w:before="60"/>
      <w:rPr>
        <w:color w:val="808080"/>
        <w:sz w:val="14"/>
        <w:szCs w:val="14"/>
      </w:rPr>
    </w:pPr>
  </w:p>
  <w:tbl>
    <w:tblPr>
      <w:tblW w:w="9638" w:type="dxa"/>
      <w:tblBorders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255"/>
      <w:gridCol w:w="7383"/>
    </w:tblGrid>
    <w:tr w:rsidR="00B05B90" w14:paraId="5D58619D" w14:textId="77777777" w:rsidTr="002C14E4">
      <w:tc>
        <w:tcPr>
          <w:tcW w:w="220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74A9A5B5" w14:textId="77777777" w:rsidR="00B05B90" w:rsidRDefault="00B05B90" w:rsidP="00B05B90">
          <w:r>
            <w:rPr>
              <w:noProof/>
            </w:rPr>
            <w:drawing>
              <wp:inline distT="0" distB="0" distL="0" distR="0" wp14:anchorId="22A59A48" wp14:editId="461C7241">
                <wp:extent cx="1428750" cy="333375"/>
                <wp:effectExtent l="0" t="0" r="0" b="0"/>
                <wp:docPr id="1123893780" name="Obraz 1123893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38" w:type="dxa"/>
          <w:tcMar>
            <w:top w:w="0" w:type="dxa"/>
            <w:left w:w="120" w:type="dxa"/>
            <w:bottom w:w="0" w:type="dxa"/>
            <w:right w:w="0" w:type="dxa"/>
          </w:tcMar>
          <w:vAlign w:val="center"/>
        </w:tcPr>
        <w:p w14:paraId="2B470C04" w14:textId="77777777" w:rsidR="00B05B90" w:rsidRDefault="00B05B90" w:rsidP="00B05B90">
          <w:pPr>
            <w:spacing w:line="220" w:lineRule="auto"/>
          </w:pPr>
          <w:r>
            <w:rPr>
              <w:b/>
              <w:bCs/>
              <w:color w:val="404040"/>
              <w:sz w:val="14"/>
              <w:szCs w:val="14"/>
            </w:rPr>
            <w:t>Oktawave S.A.</w:t>
          </w:r>
          <w:r>
            <w:rPr>
              <w:color w:val="404040"/>
              <w:sz w:val="14"/>
              <w:szCs w:val="14"/>
            </w:rPr>
            <w:t>, ul. Poleczki 13, 02-822 Warszawa</w:t>
          </w:r>
        </w:p>
        <w:p w14:paraId="5FA4B836" w14:textId="77777777" w:rsidR="00B05B90" w:rsidRDefault="00B05B90" w:rsidP="00B05B90">
          <w:pPr>
            <w:spacing w:line="220" w:lineRule="auto"/>
          </w:pPr>
          <w:r>
            <w:rPr>
              <w:color w:val="404040"/>
              <w:sz w:val="14"/>
              <w:szCs w:val="14"/>
            </w:rPr>
            <w:t>https://oktawave.com/</w:t>
          </w:r>
        </w:p>
        <w:p w14:paraId="4D3BE9C0" w14:textId="77777777" w:rsidR="00B05B90" w:rsidRDefault="00B05B90" w:rsidP="00B05B90">
          <w:pPr>
            <w:spacing w:line="220" w:lineRule="auto"/>
          </w:pPr>
          <w:r>
            <w:rPr>
              <w:color w:val="404040"/>
              <w:sz w:val="14"/>
              <w:szCs w:val="14"/>
            </w:rPr>
            <w:t>KRS: 0000858468, NIP: 5213633306, REGON: 146197794</w:t>
          </w:r>
        </w:p>
        <w:p w14:paraId="0E834771" w14:textId="77777777" w:rsidR="00B05B90" w:rsidRDefault="00B05B90" w:rsidP="00B05B90">
          <w:pPr>
            <w:spacing w:line="220" w:lineRule="auto"/>
          </w:pPr>
          <w:r>
            <w:rPr>
              <w:color w:val="404040"/>
              <w:sz w:val="14"/>
              <w:szCs w:val="14"/>
            </w:rPr>
            <w:t>Kapitał zakładowy: 5.397.410,00 PLN</w:t>
          </w:r>
        </w:p>
      </w:tc>
    </w:tr>
  </w:tbl>
  <w:p w14:paraId="03191790" w14:textId="77777777" w:rsidR="00B05B90" w:rsidRDefault="00B05B90" w:rsidP="00B05B90">
    <w:pPr>
      <w:pBdr>
        <w:top w:val="single" w:sz="6" w:space="1" w:color="BFBFBF"/>
      </w:pBdr>
      <w:spacing w:before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9942C" w14:textId="77777777" w:rsidR="00CB4E0A" w:rsidRDefault="00CB4E0A">
      <w:r>
        <w:separator/>
      </w:r>
    </w:p>
  </w:footnote>
  <w:footnote w:type="continuationSeparator" w:id="0">
    <w:p w14:paraId="4877C3E4" w14:textId="77777777" w:rsidR="00CB4E0A" w:rsidRDefault="00CB4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00794" w14:textId="6EC7B05C" w:rsidR="00FF7E86" w:rsidRDefault="00000000" w:rsidP="00B05B90">
    <w:pPr>
      <w:spacing w:after="80"/>
      <w:jc w:val="center"/>
    </w:pPr>
    <w:r>
      <w:rPr>
        <w:noProof/>
      </w:rPr>
      <w:drawing>
        <wp:inline distT="0" distB="0" distL="0" distR="0" wp14:anchorId="71EFC1F0" wp14:editId="15F016CA">
          <wp:extent cx="5715000" cy="5429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A52B6"/>
    <w:multiLevelType w:val="hybridMultilevel"/>
    <w:tmpl w:val="BE569422"/>
    <w:lvl w:ilvl="0" w:tplc="4EBE634C">
      <w:start w:val="1"/>
      <w:numFmt w:val="decimal"/>
      <w:lvlText w:val="%1."/>
      <w:lvlJc w:val="left"/>
      <w:pPr>
        <w:ind w:left="540" w:hanging="360"/>
      </w:pPr>
    </w:lvl>
    <w:lvl w:ilvl="1" w:tplc="DC8A3A72">
      <w:start w:val="1"/>
      <w:numFmt w:val="lowerLetter"/>
      <w:lvlText w:val="%2)"/>
      <w:lvlJc w:val="left"/>
      <w:pPr>
        <w:ind w:left="1080" w:hanging="360"/>
      </w:pPr>
    </w:lvl>
    <w:lvl w:ilvl="2" w:tplc="8108A864">
      <w:numFmt w:val="decimal"/>
      <w:lvlText w:val=""/>
      <w:lvlJc w:val="left"/>
    </w:lvl>
    <w:lvl w:ilvl="3" w:tplc="AF68DD40">
      <w:numFmt w:val="decimal"/>
      <w:lvlText w:val=""/>
      <w:lvlJc w:val="left"/>
    </w:lvl>
    <w:lvl w:ilvl="4" w:tplc="982A3398">
      <w:numFmt w:val="decimal"/>
      <w:lvlText w:val=""/>
      <w:lvlJc w:val="left"/>
    </w:lvl>
    <w:lvl w:ilvl="5" w:tplc="BBF4FDBE">
      <w:numFmt w:val="decimal"/>
      <w:lvlText w:val=""/>
      <w:lvlJc w:val="left"/>
    </w:lvl>
    <w:lvl w:ilvl="6" w:tplc="FC447FC0">
      <w:numFmt w:val="decimal"/>
      <w:lvlText w:val=""/>
      <w:lvlJc w:val="left"/>
    </w:lvl>
    <w:lvl w:ilvl="7" w:tplc="45EAA8E0">
      <w:numFmt w:val="decimal"/>
      <w:lvlText w:val=""/>
      <w:lvlJc w:val="left"/>
    </w:lvl>
    <w:lvl w:ilvl="8" w:tplc="34B0D010">
      <w:numFmt w:val="decimal"/>
      <w:lvlText w:val=""/>
      <w:lvlJc w:val="left"/>
    </w:lvl>
  </w:abstractNum>
  <w:abstractNum w:abstractNumId="1" w15:restartNumberingAfterBreak="0">
    <w:nsid w:val="45046F87"/>
    <w:multiLevelType w:val="hybridMultilevel"/>
    <w:tmpl w:val="D2EE6A8C"/>
    <w:lvl w:ilvl="0" w:tplc="FF6EEDCA">
      <w:start w:val="1"/>
      <w:numFmt w:val="bullet"/>
      <w:lvlText w:val="●"/>
      <w:lvlJc w:val="left"/>
      <w:pPr>
        <w:ind w:left="720" w:hanging="360"/>
      </w:pPr>
    </w:lvl>
    <w:lvl w:ilvl="1" w:tplc="1B80744E">
      <w:start w:val="1"/>
      <w:numFmt w:val="bullet"/>
      <w:lvlText w:val="○"/>
      <w:lvlJc w:val="left"/>
      <w:pPr>
        <w:ind w:left="1440" w:hanging="360"/>
      </w:pPr>
    </w:lvl>
    <w:lvl w:ilvl="2" w:tplc="447A4E58">
      <w:start w:val="1"/>
      <w:numFmt w:val="bullet"/>
      <w:lvlText w:val="■"/>
      <w:lvlJc w:val="left"/>
      <w:pPr>
        <w:ind w:left="2160" w:hanging="360"/>
      </w:pPr>
    </w:lvl>
    <w:lvl w:ilvl="3" w:tplc="04384A7A">
      <w:start w:val="1"/>
      <w:numFmt w:val="bullet"/>
      <w:lvlText w:val="●"/>
      <w:lvlJc w:val="left"/>
      <w:pPr>
        <w:ind w:left="2880" w:hanging="360"/>
      </w:pPr>
    </w:lvl>
    <w:lvl w:ilvl="4" w:tplc="9F60A0EA">
      <w:start w:val="1"/>
      <w:numFmt w:val="bullet"/>
      <w:lvlText w:val="○"/>
      <w:lvlJc w:val="left"/>
      <w:pPr>
        <w:ind w:left="3600" w:hanging="360"/>
      </w:pPr>
    </w:lvl>
    <w:lvl w:ilvl="5" w:tplc="B07E739C">
      <w:start w:val="1"/>
      <w:numFmt w:val="bullet"/>
      <w:lvlText w:val="■"/>
      <w:lvlJc w:val="left"/>
      <w:pPr>
        <w:ind w:left="4320" w:hanging="360"/>
      </w:pPr>
    </w:lvl>
    <w:lvl w:ilvl="6" w:tplc="90CECD9A">
      <w:start w:val="1"/>
      <w:numFmt w:val="bullet"/>
      <w:lvlText w:val="●"/>
      <w:lvlJc w:val="left"/>
      <w:pPr>
        <w:ind w:left="5040" w:hanging="360"/>
      </w:pPr>
    </w:lvl>
    <w:lvl w:ilvl="7" w:tplc="3A7C2190">
      <w:start w:val="1"/>
      <w:numFmt w:val="bullet"/>
      <w:lvlText w:val="●"/>
      <w:lvlJc w:val="left"/>
      <w:pPr>
        <w:ind w:left="5760" w:hanging="360"/>
      </w:pPr>
    </w:lvl>
    <w:lvl w:ilvl="8" w:tplc="DEFE5908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519D4751"/>
    <w:multiLevelType w:val="hybridMultilevel"/>
    <w:tmpl w:val="60B09F32"/>
    <w:lvl w:ilvl="0" w:tplc="ECE82D24">
      <w:start w:val="1"/>
      <w:numFmt w:val="bullet"/>
      <w:lvlText w:val="•"/>
      <w:lvlJc w:val="left"/>
      <w:pPr>
        <w:ind w:left="540" w:hanging="280"/>
      </w:pPr>
    </w:lvl>
    <w:lvl w:ilvl="1" w:tplc="4CB2B000">
      <w:start w:val="1"/>
      <w:numFmt w:val="bullet"/>
      <w:lvlText w:val="–"/>
      <w:lvlJc w:val="left"/>
      <w:pPr>
        <w:ind w:left="1080" w:hanging="280"/>
      </w:pPr>
    </w:lvl>
    <w:lvl w:ilvl="2" w:tplc="71265AB6">
      <w:numFmt w:val="decimal"/>
      <w:lvlText w:val=""/>
      <w:lvlJc w:val="left"/>
    </w:lvl>
    <w:lvl w:ilvl="3" w:tplc="87564DA0">
      <w:numFmt w:val="decimal"/>
      <w:lvlText w:val=""/>
      <w:lvlJc w:val="left"/>
    </w:lvl>
    <w:lvl w:ilvl="4" w:tplc="6330C052">
      <w:numFmt w:val="decimal"/>
      <w:lvlText w:val=""/>
      <w:lvlJc w:val="left"/>
    </w:lvl>
    <w:lvl w:ilvl="5" w:tplc="B3428782">
      <w:numFmt w:val="decimal"/>
      <w:lvlText w:val=""/>
      <w:lvlJc w:val="left"/>
    </w:lvl>
    <w:lvl w:ilvl="6" w:tplc="E56C1F90">
      <w:numFmt w:val="decimal"/>
      <w:lvlText w:val=""/>
      <w:lvlJc w:val="left"/>
    </w:lvl>
    <w:lvl w:ilvl="7" w:tplc="36E0AE26">
      <w:numFmt w:val="decimal"/>
      <w:lvlText w:val=""/>
      <w:lvlJc w:val="left"/>
    </w:lvl>
    <w:lvl w:ilvl="8" w:tplc="9A40F784">
      <w:numFmt w:val="decimal"/>
      <w:lvlText w:val=""/>
      <w:lvlJc w:val="left"/>
    </w:lvl>
  </w:abstractNum>
  <w:num w:numId="1" w16cid:durableId="105508321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E86"/>
    <w:rsid w:val="0029259A"/>
    <w:rsid w:val="0045687E"/>
    <w:rsid w:val="004F0215"/>
    <w:rsid w:val="009157E4"/>
    <w:rsid w:val="00981377"/>
    <w:rsid w:val="00A87C37"/>
    <w:rsid w:val="00B05B90"/>
    <w:rsid w:val="00B121D4"/>
    <w:rsid w:val="00C05ADA"/>
    <w:rsid w:val="00CB4E0A"/>
    <w:rsid w:val="00CF5CBD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706C5A"/>
  <w15:docId w15:val="{30D16CF8-2835-C44E-AE1E-1ABB1D4D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1"/>
        <w:szCs w:val="21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pBdr>
        <w:bottom w:val="single" w:sz="4" w:space="2" w:color="1F6FB2"/>
      </w:pBdr>
      <w:spacing w:before="240" w:after="120"/>
      <w:outlineLvl w:val="0"/>
    </w:pPr>
    <w:rPr>
      <w:b/>
      <w:bCs/>
      <w:caps/>
      <w:color w:val="1F4E79"/>
      <w:sz w:val="24"/>
      <w:szCs w:val="24"/>
    </w:rPr>
  </w:style>
  <w:style w:type="paragraph" w:styleId="Nagwek2">
    <w:name w:val="heading 2"/>
    <w:uiPriority w:val="9"/>
    <w:semiHidden/>
    <w:unhideWhenUsed/>
    <w:qFormat/>
    <w:pPr>
      <w:spacing w:before="160" w:after="80"/>
      <w:outlineLvl w:val="1"/>
    </w:pPr>
    <w:rPr>
      <w:b/>
      <w:bCs/>
      <w:color w:val="1F4E79"/>
      <w:sz w:val="22"/>
      <w:szCs w:val="22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spacing w:before="120" w:after="120"/>
      <w:jc w:val="center"/>
    </w:pPr>
    <w:rPr>
      <w:b/>
      <w:bCs/>
      <w:sz w:val="30"/>
      <w:szCs w:val="30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05B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5B90"/>
  </w:style>
  <w:style w:type="paragraph" w:styleId="Stopka">
    <w:name w:val="footer"/>
    <w:basedOn w:val="Normalny"/>
    <w:link w:val="StopkaZnak"/>
    <w:uiPriority w:val="99"/>
    <w:unhideWhenUsed/>
    <w:rsid w:val="00B05B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B9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02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02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Oktawave S.A.</dc:creator>
  <cp:lastModifiedBy>Autor 1</cp:lastModifiedBy>
  <cp:revision>2</cp:revision>
  <dcterms:created xsi:type="dcterms:W3CDTF">2026-06-26T13:07:00Z</dcterms:created>
  <dcterms:modified xsi:type="dcterms:W3CDTF">2026-06-26T13:07:00Z</dcterms:modified>
</cp:coreProperties>
</file>